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A5" w:rsidRDefault="004E16A5" w:rsidP="004E16A5">
      <w:pPr>
        <w:spacing w:after="300" w:line="300" w:lineRule="atLeast"/>
        <w:outlineLvl w:val="2"/>
        <w:rPr>
          <w:rFonts w:ascii="Arial" w:eastAsia="Times New Roman" w:hAnsi="Arial" w:cs="Arial"/>
          <w:b/>
          <w:bCs/>
          <w:color w:val="4B4540"/>
          <w:sz w:val="27"/>
          <w:szCs w:val="27"/>
          <w:lang w:eastAsia="nl-NL"/>
        </w:rPr>
      </w:pPr>
      <w:r>
        <w:rPr>
          <w:rFonts w:ascii="Arial" w:eastAsia="Times New Roman" w:hAnsi="Arial" w:cs="Arial"/>
          <w:b/>
          <w:bCs/>
          <w:noProof/>
          <w:color w:val="4B4540"/>
          <w:sz w:val="27"/>
          <w:szCs w:val="27"/>
          <w:lang w:eastAsia="nl-NL"/>
        </w:rPr>
        <w:drawing>
          <wp:inline distT="0" distB="0" distL="0" distR="0">
            <wp:extent cx="5762625" cy="125730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2625" cy="1257300"/>
                    </a:xfrm>
                    <a:prstGeom prst="rect">
                      <a:avLst/>
                    </a:prstGeom>
                    <a:noFill/>
                    <a:ln w="9525">
                      <a:noFill/>
                      <a:miter lim="800000"/>
                      <a:headEnd/>
                      <a:tailEnd/>
                    </a:ln>
                  </pic:spPr>
                </pic:pic>
              </a:graphicData>
            </a:graphic>
          </wp:inline>
        </w:drawing>
      </w:r>
    </w:p>
    <w:p w:rsidR="004E16A5" w:rsidRDefault="004E16A5" w:rsidP="004E16A5">
      <w:pPr>
        <w:spacing w:after="300" w:line="300" w:lineRule="atLeast"/>
        <w:outlineLvl w:val="2"/>
        <w:rPr>
          <w:rFonts w:ascii="Arial" w:eastAsia="Times New Roman" w:hAnsi="Arial" w:cs="Arial"/>
          <w:b/>
          <w:bCs/>
          <w:color w:val="4B4540"/>
          <w:sz w:val="27"/>
          <w:szCs w:val="27"/>
          <w:lang w:eastAsia="nl-NL"/>
        </w:rPr>
      </w:pPr>
    </w:p>
    <w:p w:rsidR="00173AE0" w:rsidRDefault="00173AE0" w:rsidP="004E16A5">
      <w:pPr>
        <w:spacing w:after="300" w:line="300" w:lineRule="atLeast"/>
        <w:outlineLvl w:val="2"/>
        <w:rPr>
          <w:rFonts w:ascii="Arial" w:eastAsia="Times New Roman" w:hAnsi="Arial" w:cs="Arial"/>
          <w:b/>
          <w:bCs/>
          <w:color w:val="4B4540"/>
          <w:sz w:val="27"/>
          <w:szCs w:val="27"/>
          <w:lang w:eastAsia="nl-NL"/>
        </w:rPr>
      </w:pPr>
      <w:r>
        <w:rPr>
          <w:rFonts w:ascii="Arial" w:eastAsia="Times New Roman" w:hAnsi="Arial" w:cs="Arial"/>
          <w:b/>
          <w:bCs/>
          <w:color w:val="4B4540"/>
          <w:sz w:val="27"/>
          <w:szCs w:val="27"/>
          <w:lang w:eastAsia="nl-NL"/>
        </w:rPr>
        <w:t>Toelichting:</w:t>
      </w:r>
    </w:p>
    <w:p w:rsidR="00173AE0" w:rsidRPr="00173AE0" w:rsidRDefault="00173AE0" w:rsidP="004E16A5">
      <w:pPr>
        <w:spacing w:after="300" w:line="300" w:lineRule="atLeast"/>
        <w:outlineLvl w:val="2"/>
        <w:rPr>
          <w:rFonts w:ascii="Arial" w:eastAsia="Times New Roman" w:hAnsi="Arial" w:cs="Arial"/>
          <w:b/>
          <w:bCs/>
          <w:color w:val="4B4540"/>
          <w:lang w:eastAsia="nl-NL"/>
        </w:rPr>
      </w:pPr>
      <w:r>
        <w:rPr>
          <w:rFonts w:ascii="Arial" w:eastAsia="Times New Roman" w:hAnsi="Arial" w:cs="Arial"/>
          <w:b/>
          <w:bCs/>
          <w:color w:val="4B4540"/>
          <w:lang w:eastAsia="nl-NL"/>
        </w:rPr>
        <w:t>Een bedrijf is verplicht een risico inventarisatie en evaluatie uit te voeren. Hierbij worden de risico’s van de verschillende werkzaamheden in beeld gebracht en welke maatregelen worden genomen om de gezondheidsrisico’s tot een minimum te beperken. Een van de aandachtspunten is het werken met gewasbeschermingsmiddelen. Met de link kun je inloggen in risico inventarisatie voor hoveniers en groenvoorzieners.</w:t>
      </w:r>
    </w:p>
    <w:p w:rsidR="004E16A5" w:rsidRDefault="00173AE0" w:rsidP="004E16A5">
      <w:pPr>
        <w:spacing w:after="300" w:line="300" w:lineRule="atLeast"/>
        <w:outlineLvl w:val="2"/>
        <w:rPr>
          <w:rFonts w:ascii="Arial" w:eastAsia="Times New Roman" w:hAnsi="Arial" w:cs="Arial"/>
          <w:b/>
          <w:bCs/>
          <w:color w:val="4B4540"/>
          <w:sz w:val="27"/>
          <w:szCs w:val="27"/>
          <w:lang w:eastAsia="nl-NL"/>
        </w:rPr>
      </w:pPr>
      <w:hyperlink r:id="rId6" w:history="1">
        <w:r w:rsidRPr="007E719C">
          <w:rPr>
            <w:rStyle w:val="Hyperlink"/>
            <w:rFonts w:ascii="Arial" w:eastAsia="Times New Roman" w:hAnsi="Arial" w:cs="Arial"/>
            <w:b/>
            <w:bCs/>
            <w:sz w:val="27"/>
            <w:szCs w:val="27"/>
            <w:lang w:eastAsia="nl-NL"/>
          </w:rPr>
          <w:t>http://instrumenten.rie.nl/nl/stigas/hoveniers-en-groenvoorz</w:t>
        </w:r>
        <w:r w:rsidRPr="007E719C">
          <w:rPr>
            <w:rStyle w:val="Hyperlink"/>
            <w:rFonts w:ascii="Arial" w:eastAsia="Times New Roman" w:hAnsi="Arial" w:cs="Arial"/>
            <w:b/>
            <w:bCs/>
            <w:sz w:val="27"/>
            <w:szCs w:val="27"/>
            <w:lang w:eastAsia="nl-NL"/>
          </w:rPr>
          <w:t>i</w:t>
        </w:r>
        <w:r w:rsidRPr="007E719C">
          <w:rPr>
            <w:rStyle w:val="Hyperlink"/>
            <w:rFonts w:ascii="Arial" w:eastAsia="Times New Roman" w:hAnsi="Arial" w:cs="Arial"/>
            <w:b/>
            <w:bCs/>
            <w:sz w:val="27"/>
            <w:szCs w:val="27"/>
            <w:lang w:eastAsia="nl-NL"/>
          </w:rPr>
          <w:t>eners/identification/report</w:t>
        </w:r>
      </w:hyperlink>
    </w:p>
    <w:p w:rsidR="00173AE0" w:rsidRDefault="00173AE0" w:rsidP="004E16A5">
      <w:pPr>
        <w:spacing w:after="300" w:line="300" w:lineRule="atLeast"/>
        <w:outlineLvl w:val="2"/>
        <w:rPr>
          <w:rFonts w:ascii="Arial" w:eastAsia="Times New Roman" w:hAnsi="Arial" w:cs="Arial"/>
          <w:b/>
          <w:bCs/>
          <w:color w:val="4B4540"/>
          <w:sz w:val="27"/>
          <w:szCs w:val="27"/>
          <w:lang w:eastAsia="nl-NL"/>
        </w:rPr>
      </w:pPr>
    </w:p>
    <w:p w:rsidR="004E16A5" w:rsidRPr="004E16A5" w:rsidRDefault="004E16A5" w:rsidP="004E16A5">
      <w:pPr>
        <w:spacing w:after="300" w:line="300" w:lineRule="atLeast"/>
        <w:outlineLvl w:val="2"/>
        <w:rPr>
          <w:rFonts w:ascii="Arial" w:eastAsia="Times New Roman" w:hAnsi="Arial" w:cs="Arial"/>
          <w:b/>
          <w:bCs/>
          <w:color w:val="4B4540"/>
          <w:sz w:val="27"/>
          <w:szCs w:val="27"/>
          <w:lang w:eastAsia="nl-NL"/>
        </w:rPr>
      </w:pPr>
      <w:r w:rsidRPr="004E16A5">
        <w:rPr>
          <w:rFonts w:ascii="Arial" w:eastAsia="Times New Roman" w:hAnsi="Arial" w:cs="Arial"/>
          <w:b/>
          <w:bCs/>
          <w:color w:val="0000FF"/>
          <w:sz w:val="27"/>
          <w:szCs w:val="27"/>
          <w:u w:val="single"/>
          <w:lang w:eastAsia="nl-NL"/>
        </w:rPr>
        <w:t>1.5 Onkruid en ziektebestrijding"</w:t>
      </w:r>
    </w:p>
    <w:p w:rsidR="004E16A5" w:rsidRPr="004E16A5" w:rsidRDefault="004E16A5" w:rsidP="004E16A5">
      <w:pPr>
        <w:spacing w:before="100" w:beforeAutospacing="1" w:after="100" w:afterAutospacing="1" w:line="300" w:lineRule="atLeast"/>
        <w:outlineLvl w:val="3"/>
        <w:rPr>
          <w:rFonts w:ascii="Arial" w:eastAsia="Times New Roman" w:hAnsi="Arial" w:cs="Arial"/>
          <w:caps/>
          <w:color w:val="4B4540"/>
          <w:spacing w:val="15"/>
          <w:sz w:val="20"/>
          <w:szCs w:val="20"/>
          <w:lang w:eastAsia="nl-NL"/>
        </w:rPr>
      </w:pPr>
      <w:hyperlink r:id="rId7" w:history="1">
        <w:r w:rsidRPr="004E16A5">
          <w:rPr>
            <w:rFonts w:ascii="Arial" w:eastAsia="Times New Roman" w:hAnsi="Arial" w:cs="Arial"/>
            <w:caps/>
            <w:color w:val="0000FF"/>
            <w:spacing w:val="15"/>
            <w:sz w:val="20"/>
            <w:szCs w:val="20"/>
            <w:u w:val="single"/>
            <w:lang w:eastAsia="nl-NL"/>
          </w:rPr>
          <w:t>1.5.1 Voordat gewasbeschermingsmiddelen en biociden worden toegepast, wordt eerst nagegaan of er minder schadelijke alternatieven mogelijk zijn en zo mogelijk worden die toegepast.</w:t>
        </w:r>
      </w:hyperlink>
    </w:p>
    <w:p w:rsidR="004E16A5" w:rsidRPr="004E16A5" w:rsidRDefault="004E16A5" w:rsidP="004E16A5">
      <w:pPr>
        <w:spacing w:after="300" w:line="300" w:lineRule="atLeast"/>
        <w:rPr>
          <w:rFonts w:ascii="Arial" w:eastAsia="Times New Roman" w:hAnsi="Arial" w:cs="Arial"/>
          <w:color w:val="4B4540"/>
          <w:sz w:val="20"/>
          <w:szCs w:val="20"/>
          <w:lang w:eastAsia="nl-NL"/>
        </w:rPr>
      </w:pPr>
      <w:r w:rsidRPr="004E16A5">
        <w:rPr>
          <w:rFonts w:ascii="Arial" w:eastAsia="Times New Roman" w:hAnsi="Arial" w:cs="Arial"/>
          <w:color w:val="4B4540"/>
          <w:sz w:val="20"/>
          <w:szCs w:val="20"/>
          <w:lang w:eastAsia="nl-NL"/>
        </w:rPr>
        <w:t>Minder schadelijke alternatieven kunnen zijn andere bestrijdingsmethoden zoals bijv. borstelen, branden, stomen en wieden onkruid, het gebruik van biologische middelen of het toepassen van minder schadelijke chemische middelen.</w:t>
      </w:r>
    </w:p>
    <w:p w:rsidR="004E16A5" w:rsidRPr="004E16A5" w:rsidRDefault="004E16A5" w:rsidP="004E16A5">
      <w:pPr>
        <w:spacing w:before="100" w:beforeAutospacing="1" w:after="100" w:afterAutospacing="1" w:line="300" w:lineRule="atLeast"/>
        <w:outlineLvl w:val="3"/>
        <w:rPr>
          <w:rFonts w:ascii="Arial" w:eastAsia="Times New Roman" w:hAnsi="Arial" w:cs="Arial"/>
          <w:color w:val="4B4540"/>
          <w:sz w:val="20"/>
          <w:szCs w:val="20"/>
          <w:lang w:eastAsia="nl-NL"/>
        </w:rPr>
      </w:pPr>
      <w:hyperlink r:id="rId8" w:history="1">
        <w:r w:rsidRPr="004E16A5">
          <w:rPr>
            <w:rFonts w:ascii="Arial" w:eastAsia="Times New Roman" w:hAnsi="Arial" w:cs="Arial"/>
            <w:caps/>
            <w:color w:val="0000FF"/>
            <w:spacing w:val="15"/>
            <w:sz w:val="20"/>
            <w:szCs w:val="20"/>
            <w:u w:val="single"/>
            <w:lang w:eastAsia="nl-NL"/>
          </w:rPr>
          <w:t>1.5.2 Alle medewerkers die gewasbeschermingsmiddelen en biociden toepassen zijn in het bezit van een spuitlicentie / certificaat van vakbekwaamheid.</w:t>
        </w:r>
      </w:hyperlink>
    </w:p>
    <w:p w:rsidR="004E16A5" w:rsidRPr="004E16A5" w:rsidRDefault="004E16A5" w:rsidP="004E16A5">
      <w:pPr>
        <w:spacing w:after="300" w:line="300" w:lineRule="atLeast"/>
        <w:rPr>
          <w:rFonts w:ascii="Arial" w:eastAsia="Times New Roman" w:hAnsi="Arial" w:cs="Arial"/>
          <w:color w:val="4B4540"/>
          <w:sz w:val="20"/>
          <w:szCs w:val="20"/>
          <w:lang w:eastAsia="nl-NL"/>
        </w:rPr>
      </w:pPr>
      <w:r w:rsidRPr="004E16A5">
        <w:rPr>
          <w:rFonts w:ascii="Arial" w:eastAsia="Times New Roman" w:hAnsi="Arial" w:cs="Arial"/>
          <w:color w:val="4B4540"/>
          <w:sz w:val="20"/>
          <w:szCs w:val="20"/>
          <w:lang w:eastAsia="nl-NL"/>
        </w:rPr>
        <w:t xml:space="preserve">De </w:t>
      </w:r>
      <w:proofErr w:type="spellStart"/>
      <w:r w:rsidRPr="004E16A5">
        <w:rPr>
          <w:rFonts w:ascii="Arial" w:eastAsia="Times New Roman" w:hAnsi="Arial" w:cs="Arial"/>
          <w:color w:val="4B4540"/>
          <w:sz w:val="20"/>
          <w:szCs w:val="20"/>
          <w:lang w:eastAsia="nl-NL"/>
        </w:rPr>
        <w:t>toepasser</w:t>
      </w:r>
      <w:proofErr w:type="spellEnd"/>
      <w:r w:rsidRPr="004E16A5">
        <w:rPr>
          <w:rFonts w:ascii="Arial" w:eastAsia="Times New Roman" w:hAnsi="Arial" w:cs="Arial"/>
          <w:color w:val="4B4540"/>
          <w:sz w:val="20"/>
          <w:szCs w:val="20"/>
          <w:lang w:eastAsia="nl-NL"/>
        </w:rPr>
        <w:t xml:space="preserve"> van gewasbeschermingsmiddelen en biociden moet in het bezit zijn van een certificaat van vakbekwaamheid, de zogenaamde spuitlicentie.</w:t>
      </w:r>
    </w:p>
    <w:p w:rsidR="004E16A5" w:rsidRPr="004E16A5" w:rsidRDefault="004E16A5" w:rsidP="004E16A5">
      <w:pPr>
        <w:spacing w:after="300" w:line="300" w:lineRule="atLeast"/>
        <w:rPr>
          <w:rFonts w:ascii="Arial" w:eastAsia="Times New Roman" w:hAnsi="Arial" w:cs="Arial"/>
          <w:color w:val="4B4540"/>
          <w:sz w:val="20"/>
          <w:szCs w:val="20"/>
          <w:lang w:eastAsia="nl-NL"/>
        </w:rPr>
      </w:pPr>
      <w:r w:rsidRPr="004E16A5">
        <w:rPr>
          <w:rFonts w:ascii="Arial" w:eastAsia="Times New Roman" w:hAnsi="Arial" w:cs="Arial"/>
          <w:color w:val="4B4540"/>
          <w:sz w:val="20"/>
          <w:szCs w:val="20"/>
          <w:lang w:eastAsia="nl-NL"/>
        </w:rPr>
        <w:t>Het strooien van granulaten etc. valt ook onder het toepassen van gewasbeschermingsmiddelen en biociden en hiervoor is dus ook een spuitlicentie vereist.</w:t>
      </w:r>
    </w:p>
    <w:p w:rsidR="004E16A5" w:rsidRPr="004E16A5" w:rsidRDefault="004E16A5" w:rsidP="004E16A5">
      <w:pPr>
        <w:spacing w:after="300" w:line="300" w:lineRule="atLeast"/>
        <w:rPr>
          <w:rFonts w:ascii="Arial" w:eastAsia="Times New Roman" w:hAnsi="Arial" w:cs="Arial"/>
          <w:color w:val="4B4540"/>
          <w:sz w:val="20"/>
          <w:szCs w:val="20"/>
          <w:lang w:eastAsia="nl-NL"/>
        </w:rPr>
      </w:pPr>
      <w:r w:rsidRPr="004E16A5">
        <w:rPr>
          <w:rFonts w:ascii="Arial" w:eastAsia="Times New Roman" w:hAnsi="Arial" w:cs="Arial"/>
          <w:color w:val="4B4540"/>
          <w:sz w:val="20"/>
          <w:szCs w:val="20"/>
          <w:lang w:eastAsia="nl-NL"/>
        </w:rPr>
        <w:t>Voor het bestrijden van mollen en woelratten waarbij middelen gebruikt die fosforwaterstof bevatten zijn andere diploma`s vereist.</w:t>
      </w:r>
    </w:p>
    <w:p w:rsidR="004E16A5" w:rsidRPr="004E16A5" w:rsidRDefault="004E16A5" w:rsidP="004E16A5">
      <w:pPr>
        <w:spacing w:after="300" w:line="300" w:lineRule="atLeast"/>
        <w:rPr>
          <w:rFonts w:ascii="Arial" w:eastAsia="Times New Roman" w:hAnsi="Arial" w:cs="Arial"/>
          <w:color w:val="4B4540"/>
          <w:sz w:val="20"/>
          <w:szCs w:val="20"/>
          <w:lang w:eastAsia="nl-NL"/>
        </w:rPr>
      </w:pPr>
      <w:r w:rsidRPr="004E16A5">
        <w:rPr>
          <w:rFonts w:ascii="Arial" w:eastAsia="Times New Roman" w:hAnsi="Arial" w:cs="Arial"/>
          <w:color w:val="4B4540"/>
          <w:sz w:val="20"/>
          <w:szCs w:val="20"/>
          <w:lang w:eastAsia="nl-NL"/>
        </w:rPr>
        <w:lastRenderedPageBreak/>
        <w:t xml:space="preserve">Kijk voor meer informatie over de spuitlicentie, op de website van het </w:t>
      </w:r>
      <w:hyperlink r:id="rId9" w:tgtFrame="_blank" w:history="1">
        <w:r w:rsidRPr="004E16A5">
          <w:rPr>
            <w:rFonts w:ascii="Arial" w:eastAsia="Times New Roman" w:hAnsi="Arial" w:cs="Arial"/>
            <w:color w:val="0000FF"/>
            <w:sz w:val="20"/>
            <w:u w:val="single"/>
            <w:lang w:eastAsia="nl-NL"/>
          </w:rPr>
          <w:t>Bureau Erkenningen</w:t>
        </w:r>
      </w:hyperlink>
      <w:r w:rsidRPr="004E16A5">
        <w:rPr>
          <w:rFonts w:ascii="Arial" w:eastAsia="Times New Roman" w:hAnsi="Arial" w:cs="Arial"/>
          <w:color w:val="4B4540"/>
          <w:sz w:val="20"/>
          <w:szCs w:val="20"/>
          <w:lang w:eastAsia="nl-NL"/>
        </w:rPr>
        <w:t>.</w:t>
      </w:r>
    </w:p>
    <w:p w:rsidR="004E16A5" w:rsidRPr="004E16A5" w:rsidRDefault="004E16A5" w:rsidP="004E16A5">
      <w:pPr>
        <w:spacing w:before="100" w:beforeAutospacing="1" w:after="100" w:afterAutospacing="1" w:line="300" w:lineRule="atLeast"/>
        <w:outlineLvl w:val="3"/>
        <w:rPr>
          <w:rFonts w:ascii="Arial" w:eastAsia="Times New Roman" w:hAnsi="Arial" w:cs="Arial"/>
          <w:color w:val="4B4540"/>
          <w:sz w:val="20"/>
          <w:szCs w:val="20"/>
          <w:lang w:eastAsia="nl-NL"/>
        </w:rPr>
      </w:pPr>
      <w:hyperlink r:id="rId10" w:history="1">
        <w:r w:rsidRPr="004E16A5">
          <w:rPr>
            <w:rFonts w:ascii="Arial" w:eastAsia="Times New Roman" w:hAnsi="Arial" w:cs="Arial"/>
            <w:caps/>
            <w:color w:val="0000FF"/>
            <w:spacing w:val="15"/>
            <w:sz w:val="20"/>
            <w:szCs w:val="20"/>
            <w:u w:val="single"/>
            <w:lang w:eastAsia="nl-NL"/>
          </w:rPr>
          <w:t>1.5.3 Bij het mengen van gewasbeschermingsmiddelen en biociden worden altijd maskers en handschoenen gebruikt.</w:t>
        </w:r>
      </w:hyperlink>
    </w:p>
    <w:p w:rsidR="004E16A5" w:rsidRPr="004E16A5" w:rsidRDefault="004E16A5" w:rsidP="004E16A5">
      <w:pPr>
        <w:spacing w:after="300" w:line="300" w:lineRule="atLeast"/>
        <w:rPr>
          <w:rFonts w:ascii="Arial" w:eastAsia="Times New Roman" w:hAnsi="Arial" w:cs="Arial"/>
          <w:color w:val="4B4540"/>
          <w:sz w:val="20"/>
          <w:szCs w:val="20"/>
          <w:lang w:eastAsia="nl-NL"/>
        </w:rPr>
      </w:pPr>
      <w:r w:rsidRPr="004E16A5">
        <w:rPr>
          <w:rFonts w:ascii="Arial" w:eastAsia="Times New Roman" w:hAnsi="Arial" w:cs="Arial"/>
          <w:color w:val="4B4540"/>
          <w:sz w:val="20"/>
          <w:szCs w:val="20"/>
          <w:lang w:eastAsia="nl-NL"/>
        </w:rPr>
        <w:t>Bij het mengen/aanmaken van de spuitvloeistof wordt gewerkt met geconcentreerde middelen. Het gebruik van goede beschermingsmiddelen is daarom ook bij deze kortdurende werkzaamheid belangrijk.</w:t>
      </w:r>
    </w:p>
    <w:p w:rsidR="004E16A5" w:rsidRPr="004E16A5" w:rsidRDefault="004E16A5" w:rsidP="004E16A5">
      <w:pPr>
        <w:spacing w:after="300" w:line="300" w:lineRule="atLeast"/>
        <w:rPr>
          <w:rFonts w:ascii="Arial" w:eastAsia="Times New Roman" w:hAnsi="Arial" w:cs="Arial"/>
          <w:color w:val="4B4540"/>
          <w:sz w:val="20"/>
          <w:szCs w:val="20"/>
          <w:lang w:eastAsia="nl-NL"/>
        </w:rPr>
      </w:pPr>
      <w:r w:rsidRPr="004E16A5">
        <w:rPr>
          <w:rFonts w:ascii="Arial" w:eastAsia="Times New Roman" w:hAnsi="Arial" w:cs="Arial"/>
          <w:color w:val="4B4540"/>
          <w:sz w:val="20"/>
          <w:szCs w:val="20"/>
          <w:lang w:eastAsia="nl-NL"/>
        </w:rPr>
        <w:t>Voor de meeste gewasbeschermingsmiddelen en biociden volstaat een masker met A2P3 filter en </w:t>
      </w:r>
      <w:proofErr w:type="spellStart"/>
      <w:r w:rsidRPr="004E16A5">
        <w:rPr>
          <w:rFonts w:ascii="Arial" w:eastAsia="Times New Roman" w:hAnsi="Arial" w:cs="Arial"/>
          <w:color w:val="4B4540"/>
          <w:sz w:val="20"/>
          <w:szCs w:val="20"/>
          <w:lang w:eastAsia="nl-NL"/>
        </w:rPr>
        <w:t>nitrilrubber</w:t>
      </w:r>
      <w:proofErr w:type="spellEnd"/>
      <w:r w:rsidRPr="004E16A5">
        <w:rPr>
          <w:rFonts w:ascii="Arial" w:eastAsia="Times New Roman" w:hAnsi="Arial" w:cs="Arial"/>
          <w:color w:val="4B4540"/>
          <w:sz w:val="20"/>
          <w:szCs w:val="20"/>
          <w:lang w:eastAsia="nl-NL"/>
        </w:rPr>
        <w:t xml:space="preserve"> of neopreen handschoenen maar raadpleeg altijd eerst het etiket of het veiligheidsinformatieblad (zie hiervoor </w:t>
      </w:r>
      <w:hyperlink r:id="rId11" w:tgtFrame="_blank" w:history="1">
        <w:r w:rsidRPr="004E16A5">
          <w:rPr>
            <w:rFonts w:ascii="Arial" w:eastAsia="Times New Roman" w:hAnsi="Arial" w:cs="Arial"/>
            <w:color w:val="0000FF"/>
            <w:sz w:val="20"/>
            <w:u w:val="single"/>
            <w:lang w:eastAsia="nl-NL"/>
          </w:rPr>
          <w:t>www.fytostat.nl</w:t>
        </w:r>
      </w:hyperlink>
      <w:r w:rsidRPr="004E16A5">
        <w:rPr>
          <w:rFonts w:ascii="Arial" w:eastAsia="Times New Roman" w:hAnsi="Arial" w:cs="Arial"/>
          <w:color w:val="4B4540"/>
          <w:sz w:val="20"/>
          <w:szCs w:val="20"/>
          <w:lang w:eastAsia="nl-NL"/>
        </w:rPr>
        <w:t>)</w:t>
      </w:r>
    </w:p>
    <w:p w:rsidR="004E16A5" w:rsidRPr="004E16A5" w:rsidRDefault="004E16A5" w:rsidP="004E16A5">
      <w:pPr>
        <w:spacing w:after="300" w:line="300" w:lineRule="atLeast"/>
        <w:rPr>
          <w:rFonts w:ascii="Arial" w:eastAsia="Times New Roman" w:hAnsi="Arial" w:cs="Arial"/>
          <w:color w:val="4B4540"/>
          <w:sz w:val="20"/>
          <w:szCs w:val="20"/>
          <w:lang w:eastAsia="nl-NL"/>
        </w:rPr>
      </w:pPr>
      <w:r w:rsidRPr="004E16A5">
        <w:rPr>
          <w:rFonts w:ascii="Arial" w:eastAsia="Times New Roman" w:hAnsi="Arial" w:cs="Arial"/>
          <w:i/>
          <w:iCs/>
          <w:color w:val="4B4540"/>
          <w:sz w:val="20"/>
          <w:lang w:eastAsia="nl-NL"/>
        </w:rPr>
        <w:t>Het mengen van meerdere gewasbeschermingsmiddelen en biociden om die in één keer toe te passen of het afwijken van de voorgeschreven dosering is niet toegestaan. (Tenzij dit op etiket vermeld staat.)</w:t>
      </w:r>
    </w:p>
    <w:p w:rsidR="004E16A5" w:rsidRPr="004E16A5" w:rsidRDefault="004E16A5" w:rsidP="004E16A5">
      <w:pPr>
        <w:spacing w:before="100" w:beforeAutospacing="1" w:after="100" w:afterAutospacing="1" w:line="300" w:lineRule="atLeast"/>
        <w:outlineLvl w:val="3"/>
        <w:rPr>
          <w:rFonts w:ascii="Arial" w:eastAsia="Times New Roman" w:hAnsi="Arial" w:cs="Arial"/>
          <w:color w:val="4B4540"/>
          <w:sz w:val="20"/>
          <w:szCs w:val="20"/>
          <w:lang w:eastAsia="nl-NL"/>
        </w:rPr>
      </w:pPr>
      <w:hyperlink r:id="rId12" w:history="1">
        <w:r w:rsidRPr="004E16A5">
          <w:rPr>
            <w:rFonts w:ascii="Arial" w:eastAsia="Times New Roman" w:hAnsi="Arial" w:cs="Arial"/>
            <w:caps/>
            <w:color w:val="0000FF"/>
            <w:spacing w:val="15"/>
            <w:sz w:val="20"/>
            <w:szCs w:val="20"/>
            <w:u w:val="single"/>
            <w:lang w:eastAsia="nl-NL"/>
          </w:rPr>
          <w:t>1.5.4 Bij het toepassen van gewasbeschermingsmiddelen en biociden wordt altijd gewerkt volgens de aanwijzingen op het etiket.</w:t>
        </w:r>
      </w:hyperlink>
    </w:p>
    <w:p w:rsidR="004E16A5" w:rsidRPr="004E16A5" w:rsidRDefault="004E16A5" w:rsidP="004E16A5">
      <w:pPr>
        <w:spacing w:after="300" w:line="300" w:lineRule="atLeast"/>
        <w:rPr>
          <w:rFonts w:ascii="Arial" w:eastAsia="Times New Roman" w:hAnsi="Arial" w:cs="Arial"/>
          <w:color w:val="4B4540"/>
          <w:sz w:val="20"/>
          <w:szCs w:val="20"/>
          <w:lang w:eastAsia="nl-NL"/>
        </w:rPr>
      </w:pPr>
      <w:r w:rsidRPr="004E16A5">
        <w:rPr>
          <w:rFonts w:ascii="Arial" w:eastAsia="Times New Roman" w:hAnsi="Arial" w:cs="Arial"/>
          <w:color w:val="4B4540"/>
          <w:sz w:val="20"/>
          <w:szCs w:val="20"/>
          <w:lang w:eastAsia="nl-NL"/>
        </w:rPr>
        <w:t>Op het etiket staat of en welke persoonlijke beschermingsmiddelen toegepast moeten worden.</w:t>
      </w:r>
    </w:p>
    <w:p w:rsidR="004E16A5" w:rsidRPr="004E16A5" w:rsidRDefault="004E16A5" w:rsidP="004E16A5">
      <w:pPr>
        <w:spacing w:after="300" w:line="300" w:lineRule="atLeast"/>
        <w:rPr>
          <w:rFonts w:ascii="Arial" w:eastAsia="Times New Roman" w:hAnsi="Arial" w:cs="Arial"/>
          <w:color w:val="4B4540"/>
          <w:sz w:val="20"/>
          <w:szCs w:val="20"/>
          <w:lang w:eastAsia="nl-NL"/>
        </w:rPr>
      </w:pPr>
      <w:r w:rsidRPr="004E16A5">
        <w:rPr>
          <w:rFonts w:ascii="Arial" w:eastAsia="Times New Roman" w:hAnsi="Arial" w:cs="Arial"/>
          <w:color w:val="4B4540"/>
          <w:sz w:val="20"/>
          <w:szCs w:val="20"/>
          <w:lang w:eastAsia="nl-NL"/>
        </w:rPr>
        <w:t xml:space="preserve">Voor meer informatie over individuele middelen zie </w:t>
      </w:r>
      <w:hyperlink r:id="rId13" w:tgtFrame="_blank" w:history="1">
        <w:r w:rsidRPr="004E16A5">
          <w:rPr>
            <w:rFonts w:ascii="Arial" w:eastAsia="Times New Roman" w:hAnsi="Arial" w:cs="Arial"/>
            <w:color w:val="0000FF"/>
            <w:sz w:val="20"/>
            <w:u w:val="single"/>
            <w:lang w:eastAsia="nl-NL"/>
          </w:rPr>
          <w:t>www.fytostat.nl</w:t>
        </w:r>
      </w:hyperlink>
      <w:r w:rsidRPr="004E16A5">
        <w:rPr>
          <w:rFonts w:ascii="Arial" w:eastAsia="Times New Roman" w:hAnsi="Arial" w:cs="Arial"/>
          <w:color w:val="4B4540"/>
          <w:sz w:val="20"/>
          <w:szCs w:val="20"/>
          <w:lang w:eastAsia="nl-NL"/>
        </w:rPr>
        <w:t xml:space="preserve"> of de website van het College Toelating Gewasbeschermingsmiddelen en Biociden </w:t>
      </w:r>
      <w:hyperlink r:id="rId14" w:tgtFrame="_blank" w:history="1">
        <w:r w:rsidRPr="004E16A5">
          <w:rPr>
            <w:rFonts w:ascii="Arial" w:eastAsia="Times New Roman" w:hAnsi="Arial" w:cs="Arial"/>
            <w:color w:val="0000FF"/>
            <w:sz w:val="20"/>
            <w:u w:val="single"/>
            <w:lang w:eastAsia="nl-NL"/>
          </w:rPr>
          <w:t>www.ctgb.nl</w:t>
        </w:r>
      </w:hyperlink>
      <w:r w:rsidRPr="004E16A5">
        <w:rPr>
          <w:rFonts w:ascii="Arial" w:eastAsia="Times New Roman" w:hAnsi="Arial" w:cs="Arial"/>
          <w:color w:val="4B4540"/>
          <w:sz w:val="20"/>
          <w:szCs w:val="20"/>
          <w:lang w:eastAsia="nl-NL"/>
        </w:rPr>
        <w:t>.</w:t>
      </w:r>
    </w:p>
    <w:p w:rsidR="004E16A5" w:rsidRPr="004E16A5" w:rsidRDefault="004E16A5" w:rsidP="004E16A5">
      <w:pPr>
        <w:spacing w:after="300" w:line="300" w:lineRule="atLeast"/>
        <w:rPr>
          <w:rFonts w:ascii="Arial" w:eastAsia="Times New Roman" w:hAnsi="Arial" w:cs="Arial"/>
          <w:color w:val="4B4540"/>
          <w:sz w:val="20"/>
          <w:szCs w:val="20"/>
          <w:lang w:eastAsia="nl-NL"/>
        </w:rPr>
      </w:pPr>
      <w:r w:rsidRPr="004E16A5">
        <w:rPr>
          <w:rFonts w:ascii="Arial" w:eastAsia="Times New Roman" w:hAnsi="Arial" w:cs="Arial"/>
          <w:color w:val="4B4540"/>
          <w:sz w:val="20"/>
          <w:szCs w:val="20"/>
          <w:lang w:eastAsia="nl-NL"/>
        </w:rPr>
        <w:t>N.B. Het feit dat omwonenden kunnen schrikken van een medewerker in een spuitoverall met adembescherming, mag geen reden zijn om de juiste persoonlijke beschermingsmiddelen dan maar niet te gebruiken.</w:t>
      </w:r>
    </w:p>
    <w:p w:rsidR="004E16A5" w:rsidRPr="004E16A5" w:rsidRDefault="004E16A5" w:rsidP="004E16A5">
      <w:pPr>
        <w:spacing w:before="100" w:beforeAutospacing="1" w:after="100" w:afterAutospacing="1" w:line="300" w:lineRule="atLeast"/>
        <w:outlineLvl w:val="3"/>
        <w:rPr>
          <w:rFonts w:ascii="Arial" w:eastAsia="Times New Roman" w:hAnsi="Arial" w:cs="Arial"/>
          <w:color w:val="4B4540"/>
          <w:sz w:val="20"/>
          <w:szCs w:val="20"/>
          <w:lang w:eastAsia="nl-NL"/>
        </w:rPr>
      </w:pPr>
      <w:hyperlink r:id="rId15" w:history="1">
        <w:r w:rsidRPr="004E16A5">
          <w:rPr>
            <w:rFonts w:ascii="Arial" w:eastAsia="Times New Roman" w:hAnsi="Arial" w:cs="Arial"/>
            <w:caps/>
            <w:color w:val="0000FF"/>
            <w:spacing w:val="15"/>
            <w:sz w:val="20"/>
            <w:szCs w:val="20"/>
            <w:u w:val="single"/>
            <w:lang w:eastAsia="nl-NL"/>
          </w:rPr>
          <w:t>1.5.5 Alle persoonlijke beschermingsmiddelen worden direct na gebruik gereinigd.</w:t>
        </w:r>
      </w:hyperlink>
    </w:p>
    <w:p w:rsidR="004E16A5" w:rsidRPr="004E16A5" w:rsidRDefault="004E16A5" w:rsidP="004E16A5">
      <w:pPr>
        <w:spacing w:after="300" w:line="300" w:lineRule="atLeast"/>
        <w:rPr>
          <w:rFonts w:ascii="Arial" w:eastAsia="Times New Roman" w:hAnsi="Arial" w:cs="Arial"/>
          <w:color w:val="4B4540"/>
          <w:sz w:val="20"/>
          <w:szCs w:val="20"/>
          <w:lang w:eastAsia="nl-NL"/>
        </w:rPr>
      </w:pPr>
      <w:r w:rsidRPr="004E16A5">
        <w:rPr>
          <w:rFonts w:ascii="Arial" w:eastAsia="Times New Roman" w:hAnsi="Arial" w:cs="Arial"/>
          <w:color w:val="4B4540"/>
          <w:sz w:val="20"/>
          <w:szCs w:val="20"/>
          <w:lang w:eastAsia="nl-NL"/>
        </w:rPr>
        <w:t>Door het gebruik raken persoonlijke beschermingsmiddelen verontreinigd en moeten daarom na gebruik schoongemaakt worden.</w:t>
      </w:r>
    </w:p>
    <w:p w:rsidR="004E16A5" w:rsidRPr="004E16A5" w:rsidRDefault="004E16A5" w:rsidP="004E16A5">
      <w:pPr>
        <w:spacing w:after="300" w:line="300" w:lineRule="atLeast"/>
        <w:rPr>
          <w:rFonts w:ascii="Arial" w:eastAsia="Times New Roman" w:hAnsi="Arial" w:cs="Arial"/>
          <w:color w:val="4B4540"/>
          <w:sz w:val="20"/>
          <w:szCs w:val="20"/>
          <w:lang w:eastAsia="nl-NL"/>
        </w:rPr>
      </w:pPr>
      <w:r w:rsidRPr="004E16A5">
        <w:rPr>
          <w:rFonts w:ascii="Arial" w:eastAsia="Times New Roman" w:hAnsi="Arial" w:cs="Arial"/>
          <w:color w:val="4B4540"/>
          <w:sz w:val="20"/>
          <w:szCs w:val="20"/>
          <w:lang w:eastAsia="nl-NL"/>
        </w:rPr>
        <w:t>Onderzoeken hebben in het verleden aangetoond dat de blootstelling aan gewasbeschermingsmiddelen en biociden door niet goed schoonmaakte beschermingsmiddelen hoger kan zijn dan de blootstelling door het spuiten zelf.</w:t>
      </w:r>
    </w:p>
    <w:p w:rsidR="004E16A5" w:rsidRPr="004E16A5" w:rsidRDefault="004E16A5" w:rsidP="004E16A5">
      <w:pPr>
        <w:spacing w:before="100" w:beforeAutospacing="1" w:after="100" w:afterAutospacing="1" w:line="300" w:lineRule="atLeast"/>
        <w:outlineLvl w:val="3"/>
        <w:rPr>
          <w:rFonts w:ascii="Arial" w:eastAsia="Times New Roman" w:hAnsi="Arial" w:cs="Arial"/>
          <w:color w:val="4B4540"/>
          <w:sz w:val="20"/>
          <w:szCs w:val="20"/>
          <w:lang w:eastAsia="nl-NL"/>
        </w:rPr>
      </w:pPr>
      <w:hyperlink r:id="rId16" w:history="1">
        <w:r w:rsidRPr="004E16A5">
          <w:rPr>
            <w:rFonts w:ascii="Arial" w:eastAsia="Times New Roman" w:hAnsi="Arial" w:cs="Arial"/>
            <w:caps/>
            <w:color w:val="0000FF"/>
            <w:spacing w:val="15"/>
            <w:sz w:val="20"/>
            <w:szCs w:val="20"/>
            <w:u w:val="single"/>
            <w:lang w:eastAsia="nl-NL"/>
          </w:rPr>
          <w:t>1.5.6 Persoonlijke beschermingsmiddelen worden gescheiden van gewasbeschermingsmiddelen en biociden bewaard.</w:t>
        </w:r>
      </w:hyperlink>
    </w:p>
    <w:p w:rsidR="004E16A5" w:rsidRPr="004E16A5" w:rsidRDefault="004E16A5" w:rsidP="004E16A5">
      <w:pPr>
        <w:spacing w:after="300" w:line="300" w:lineRule="atLeast"/>
        <w:rPr>
          <w:rFonts w:ascii="Arial" w:eastAsia="Times New Roman" w:hAnsi="Arial" w:cs="Arial"/>
          <w:color w:val="4B4540"/>
          <w:sz w:val="20"/>
          <w:szCs w:val="20"/>
          <w:lang w:eastAsia="nl-NL"/>
        </w:rPr>
      </w:pPr>
      <w:r w:rsidRPr="004E16A5">
        <w:rPr>
          <w:rFonts w:ascii="Arial" w:eastAsia="Times New Roman" w:hAnsi="Arial" w:cs="Arial"/>
          <w:color w:val="4B4540"/>
          <w:sz w:val="20"/>
          <w:szCs w:val="20"/>
          <w:lang w:eastAsia="nl-NL"/>
        </w:rPr>
        <w:t>Een veel gemaakte fout is dat persoonlijke beschermingsmiddelen in de gewasbeschermingsmiddelenkast worden opgeslagen. Doordat de beschermingsmiddelen op die manier verontreinigd worden met gewasbeschermingsmiddelen en biociden gaat de werking verloren (en kan het middel erger worden dan de kwaal).</w:t>
      </w:r>
    </w:p>
    <w:p w:rsidR="004E16A5" w:rsidRPr="004E16A5" w:rsidRDefault="004E16A5" w:rsidP="004E16A5">
      <w:pPr>
        <w:spacing w:before="100" w:beforeAutospacing="1" w:after="100" w:afterAutospacing="1" w:line="300" w:lineRule="atLeast"/>
        <w:outlineLvl w:val="3"/>
        <w:rPr>
          <w:rFonts w:ascii="Arial" w:eastAsia="Times New Roman" w:hAnsi="Arial" w:cs="Arial"/>
          <w:color w:val="4B4540"/>
          <w:sz w:val="20"/>
          <w:szCs w:val="20"/>
          <w:lang w:eastAsia="nl-NL"/>
        </w:rPr>
      </w:pPr>
      <w:hyperlink r:id="rId17" w:history="1">
        <w:r w:rsidRPr="004E16A5">
          <w:rPr>
            <w:rFonts w:ascii="Arial" w:eastAsia="Times New Roman" w:hAnsi="Arial" w:cs="Arial"/>
            <w:caps/>
            <w:color w:val="0000FF"/>
            <w:spacing w:val="15"/>
            <w:sz w:val="20"/>
            <w:szCs w:val="20"/>
            <w:u w:val="single"/>
            <w:lang w:eastAsia="nl-NL"/>
          </w:rPr>
          <w:t>1.5.7 Persoonlijke beschermingsmiddelen worden zo vaak als nodig vervangen en regelmatig gecontroleerd.</w:t>
        </w:r>
      </w:hyperlink>
    </w:p>
    <w:p w:rsidR="004E16A5" w:rsidRPr="004E16A5" w:rsidRDefault="004E16A5" w:rsidP="004E16A5">
      <w:pPr>
        <w:spacing w:after="300" w:line="300" w:lineRule="atLeast"/>
        <w:rPr>
          <w:rFonts w:ascii="Arial" w:eastAsia="Times New Roman" w:hAnsi="Arial" w:cs="Arial"/>
          <w:color w:val="4B4540"/>
          <w:sz w:val="20"/>
          <w:szCs w:val="20"/>
          <w:lang w:eastAsia="nl-NL"/>
        </w:rPr>
      </w:pPr>
      <w:r w:rsidRPr="004E16A5">
        <w:rPr>
          <w:rFonts w:ascii="Arial" w:eastAsia="Times New Roman" w:hAnsi="Arial" w:cs="Arial"/>
          <w:color w:val="4B4540"/>
          <w:sz w:val="20"/>
          <w:szCs w:val="20"/>
          <w:lang w:eastAsia="nl-NL"/>
        </w:rPr>
        <w:t>Controleer handschoenen, overalls en laarzen regelmatig (bijv. voor gebruik op scheurtjes).</w:t>
      </w:r>
    </w:p>
    <w:p w:rsidR="004E16A5" w:rsidRPr="004E16A5" w:rsidRDefault="004E16A5" w:rsidP="004E16A5">
      <w:pPr>
        <w:spacing w:after="300" w:line="300" w:lineRule="atLeast"/>
        <w:rPr>
          <w:rFonts w:ascii="Arial" w:eastAsia="Times New Roman" w:hAnsi="Arial" w:cs="Arial"/>
          <w:color w:val="4B4540"/>
          <w:sz w:val="20"/>
          <w:szCs w:val="20"/>
          <w:lang w:eastAsia="nl-NL"/>
        </w:rPr>
      </w:pPr>
      <w:r w:rsidRPr="004E16A5">
        <w:rPr>
          <w:rFonts w:ascii="Arial" w:eastAsia="Times New Roman" w:hAnsi="Arial" w:cs="Arial"/>
          <w:color w:val="4B4540"/>
          <w:sz w:val="20"/>
          <w:szCs w:val="20"/>
          <w:lang w:eastAsia="nl-NL"/>
        </w:rPr>
        <w:t xml:space="preserve">Vervang ademfilters na maximaal 8 gebruiksuren of na een maand. </w:t>
      </w:r>
      <w:r w:rsidRPr="004E16A5">
        <w:rPr>
          <w:rFonts w:ascii="Arial" w:eastAsia="Times New Roman" w:hAnsi="Arial" w:cs="Arial"/>
          <w:color w:val="4B4540"/>
          <w:sz w:val="20"/>
          <w:szCs w:val="20"/>
          <w:lang w:eastAsia="nl-NL"/>
        </w:rPr>
        <w:br/>
        <w:t>(Let op de aanwijzingen van de leverancier, want dit kan per filter verschillen.)</w:t>
      </w:r>
    </w:p>
    <w:p w:rsidR="004E16A5" w:rsidRPr="004E16A5" w:rsidRDefault="004E16A5" w:rsidP="004E16A5">
      <w:pPr>
        <w:spacing w:before="100" w:beforeAutospacing="1" w:after="100" w:afterAutospacing="1" w:line="300" w:lineRule="atLeast"/>
        <w:outlineLvl w:val="3"/>
        <w:rPr>
          <w:rFonts w:ascii="Arial" w:eastAsia="Times New Roman" w:hAnsi="Arial" w:cs="Arial"/>
          <w:color w:val="4B4540"/>
          <w:sz w:val="20"/>
          <w:szCs w:val="20"/>
          <w:lang w:eastAsia="nl-NL"/>
        </w:rPr>
      </w:pPr>
      <w:hyperlink r:id="rId18" w:history="1">
        <w:r w:rsidRPr="004E16A5">
          <w:rPr>
            <w:rFonts w:ascii="Arial" w:eastAsia="Times New Roman" w:hAnsi="Arial" w:cs="Arial"/>
            <w:caps/>
            <w:color w:val="0000FF"/>
            <w:spacing w:val="15"/>
            <w:sz w:val="20"/>
            <w:szCs w:val="20"/>
            <w:u w:val="single"/>
            <w:lang w:eastAsia="nl-NL"/>
          </w:rPr>
          <w:t>1.5.8 De veiligheidsinformatiebladen van gewasbeschermingsmiddelen en biociden zijn voor de medewerkers beschikbaar.</w:t>
        </w:r>
      </w:hyperlink>
    </w:p>
    <w:p w:rsidR="004E16A5" w:rsidRPr="004E16A5" w:rsidRDefault="004E16A5" w:rsidP="004E16A5">
      <w:pPr>
        <w:spacing w:after="300" w:line="300" w:lineRule="atLeast"/>
        <w:rPr>
          <w:rFonts w:ascii="Arial" w:eastAsia="Times New Roman" w:hAnsi="Arial" w:cs="Arial"/>
          <w:color w:val="4B4540"/>
          <w:sz w:val="20"/>
          <w:szCs w:val="20"/>
          <w:lang w:eastAsia="nl-NL"/>
        </w:rPr>
      </w:pPr>
      <w:r w:rsidRPr="004E16A5">
        <w:rPr>
          <w:rFonts w:ascii="Arial" w:eastAsia="Times New Roman" w:hAnsi="Arial" w:cs="Arial"/>
          <w:color w:val="4B4540"/>
          <w:sz w:val="20"/>
          <w:szCs w:val="20"/>
          <w:lang w:eastAsia="nl-NL"/>
        </w:rPr>
        <w:t>Veiligheidsinformatiebladen bevatten informatie over de risico`s van stoffen, hoe met die stoffen moet worden omgegaan en hoe gehandeld moet worden in geval van calamiteiten. De leveranciers zijn verplicht om deze veiligheidsinformatiebladen te verstrekken.</w:t>
      </w:r>
    </w:p>
    <w:p w:rsidR="004E16A5" w:rsidRPr="004E16A5" w:rsidRDefault="004E16A5" w:rsidP="004E16A5">
      <w:pPr>
        <w:spacing w:after="300" w:line="300" w:lineRule="atLeast"/>
        <w:rPr>
          <w:rFonts w:ascii="Arial" w:eastAsia="Times New Roman" w:hAnsi="Arial" w:cs="Arial"/>
          <w:color w:val="4B4540"/>
          <w:sz w:val="20"/>
          <w:szCs w:val="20"/>
          <w:lang w:eastAsia="nl-NL"/>
        </w:rPr>
      </w:pPr>
      <w:r w:rsidRPr="004E16A5">
        <w:rPr>
          <w:rFonts w:ascii="Arial" w:eastAsia="Times New Roman" w:hAnsi="Arial" w:cs="Arial"/>
          <w:color w:val="4B4540"/>
          <w:sz w:val="20"/>
          <w:szCs w:val="20"/>
          <w:lang w:eastAsia="nl-NL"/>
        </w:rPr>
        <w:t xml:space="preserve">De meeste veiligheidsinformatiebladen van gewasbeschermingsmiddelen en biociden zijn te vinden op </w:t>
      </w:r>
      <w:hyperlink r:id="rId19" w:tgtFrame="_blank" w:history="1">
        <w:r w:rsidRPr="004E16A5">
          <w:rPr>
            <w:rFonts w:ascii="Arial" w:eastAsia="Times New Roman" w:hAnsi="Arial" w:cs="Arial"/>
            <w:color w:val="0000FF"/>
            <w:sz w:val="20"/>
            <w:u w:val="single"/>
            <w:lang w:eastAsia="nl-NL"/>
          </w:rPr>
          <w:t>www.fytostat.nl</w:t>
        </w:r>
      </w:hyperlink>
    </w:p>
    <w:p w:rsidR="004E16A5" w:rsidRPr="004E16A5" w:rsidRDefault="004E16A5" w:rsidP="004E16A5">
      <w:pPr>
        <w:spacing w:before="100" w:beforeAutospacing="1" w:after="100" w:afterAutospacing="1" w:line="300" w:lineRule="atLeast"/>
        <w:outlineLvl w:val="3"/>
        <w:rPr>
          <w:rFonts w:ascii="Arial" w:eastAsia="Times New Roman" w:hAnsi="Arial" w:cs="Arial"/>
          <w:color w:val="4B4540"/>
          <w:sz w:val="20"/>
          <w:szCs w:val="20"/>
          <w:lang w:eastAsia="nl-NL"/>
        </w:rPr>
      </w:pPr>
      <w:hyperlink r:id="rId20" w:history="1">
        <w:r w:rsidRPr="004E16A5">
          <w:rPr>
            <w:rFonts w:ascii="Arial" w:eastAsia="Times New Roman" w:hAnsi="Arial" w:cs="Arial"/>
            <w:caps/>
            <w:color w:val="0000FF"/>
            <w:spacing w:val="15"/>
            <w:sz w:val="20"/>
            <w:szCs w:val="20"/>
            <w:u w:val="single"/>
            <w:lang w:eastAsia="nl-NL"/>
          </w:rPr>
          <w:t>1.5.9 De inhoud van de veiligheidsinformatiebladen is besproken met betrokken medewerkers.</w:t>
        </w:r>
      </w:hyperlink>
    </w:p>
    <w:p w:rsidR="004E16A5" w:rsidRPr="004E16A5" w:rsidRDefault="004E16A5" w:rsidP="004E16A5">
      <w:pPr>
        <w:spacing w:after="300" w:line="300" w:lineRule="atLeast"/>
        <w:rPr>
          <w:rFonts w:ascii="Arial" w:eastAsia="Times New Roman" w:hAnsi="Arial" w:cs="Arial"/>
          <w:color w:val="4B4540"/>
          <w:sz w:val="20"/>
          <w:szCs w:val="20"/>
          <w:lang w:eastAsia="nl-NL"/>
        </w:rPr>
      </w:pPr>
      <w:r w:rsidRPr="004E16A5">
        <w:rPr>
          <w:rFonts w:ascii="Arial" w:eastAsia="Times New Roman" w:hAnsi="Arial" w:cs="Arial"/>
          <w:color w:val="4B4540"/>
          <w:sz w:val="20"/>
          <w:szCs w:val="20"/>
          <w:lang w:eastAsia="nl-NL"/>
        </w:rPr>
        <w:t>De werknemers moeten op de hoogte zijn van de risico`s die zij lopen en de maatregelen die ze moeten nemen om gezond en veilig te werken met bestrijdingsmiddelen.</w:t>
      </w:r>
    </w:p>
    <w:p w:rsidR="004E16A5" w:rsidRPr="004E16A5" w:rsidRDefault="004E16A5" w:rsidP="004E16A5">
      <w:pPr>
        <w:spacing w:before="100" w:beforeAutospacing="1" w:after="100" w:afterAutospacing="1" w:line="300" w:lineRule="atLeast"/>
        <w:outlineLvl w:val="3"/>
        <w:rPr>
          <w:rFonts w:ascii="Arial" w:eastAsia="Times New Roman" w:hAnsi="Arial" w:cs="Arial"/>
          <w:color w:val="4B4540"/>
          <w:sz w:val="20"/>
          <w:szCs w:val="20"/>
          <w:lang w:eastAsia="nl-NL"/>
        </w:rPr>
      </w:pPr>
      <w:hyperlink r:id="rId21" w:history="1">
        <w:r w:rsidRPr="004E16A5">
          <w:rPr>
            <w:rFonts w:ascii="Arial" w:eastAsia="Times New Roman" w:hAnsi="Arial" w:cs="Arial"/>
            <w:caps/>
            <w:color w:val="0000FF"/>
            <w:spacing w:val="15"/>
            <w:sz w:val="20"/>
            <w:szCs w:val="20"/>
            <w:u w:val="single"/>
            <w:lang w:eastAsia="nl-NL"/>
          </w:rPr>
          <w:t>1.5.10 De opslagplaats voor gewasbeschermingsmiddelen en biociden staat op een strategische plaats, zodat middelen altijd direct weer teruggezet worden.</w:t>
        </w:r>
      </w:hyperlink>
    </w:p>
    <w:p w:rsidR="004E16A5" w:rsidRPr="004E16A5" w:rsidRDefault="004E16A5" w:rsidP="004E16A5">
      <w:pPr>
        <w:spacing w:after="300" w:line="300" w:lineRule="atLeast"/>
        <w:rPr>
          <w:rFonts w:ascii="Arial" w:eastAsia="Times New Roman" w:hAnsi="Arial" w:cs="Arial"/>
          <w:color w:val="4B4540"/>
          <w:sz w:val="20"/>
          <w:szCs w:val="20"/>
          <w:lang w:eastAsia="nl-NL"/>
        </w:rPr>
      </w:pPr>
      <w:r w:rsidRPr="004E16A5">
        <w:rPr>
          <w:rFonts w:ascii="Arial" w:eastAsia="Times New Roman" w:hAnsi="Arial" w:cs="Arial"/>
          <w:color w:val="4B4540"/>
          <w:sz w:val="20"/>
          <w:szCs w:val="20"/>
          <w:lang w:eastAsia="nl-NL"/>
        </w:rPr>
        <w:t>Gewasbeschermingsmiddelen, maar ook biociden zijn gevaarlijke stoffen die niet los mogen rondslingeren (bijv. in verband met kinderen). Berg gewasbeschermingsmiddelen en biociden daarom direct na gebruik op.</w:t>
      </w:r>
    </w:p>
    <w:p w:rsidR="004E16A5" w:rsidRPr="004E16A5" w:rsidRDefault="004E16A5" w:rsidP="004E16A5">
      <w:pPr>
        <w:spacing w:before="100" w:beforeAutospacing="1" w:after="100" w:afterAutospacing="1" w:line="300" w:lineRule="atLeast"/>
        <w:outlineLvl w:val="3"/>
        <w:rPr>
          <w:rFonts w:ascii="Arial" w:eastAsia="Times New Roman" w:hAnsi="Arial" w:cs="Arial"/>
          <w:color w:val="4B4540"/>
          <w:sz w:val="20"/>
          <w:szCs w:val="20"/>
          <w:lang w:eastAsia="nl-NL"/>
        </w:rPr>
      </w:pPr>
      <w:hyperlink r:id="rId22" w:history="1">
        <w:r w:rsidRPr="004E16A5">
          <w:rPr>
            <w:rFonts w:ascii="Arial" w:eastAsia="Times New Roman" w:hAnsi="Arial" w:cs="Arial"/>
            <w:caps/>
            <w:color w:val="0000FF"/>
            <w:spacing w:val="15"/>
            <w:sz w:val="20"/>
            <w:szCs w:val="20"/>
            <w:u w:val="single"/>
            <w:lang w:eastAsia="nl-NL"/>
          </w:rPr>
          <w:t>1.5.11 Gewasbeschermingsmiddelen en biociden worden in een brandveilige goed geventileerde kast of ruimte opgeslagen.</w:t>
        </w:r>
      </w:hyperlink>
    </w:p>
    <w:p w:rsidR="004E16A5" w:rsidRPr="004E16A5" w:rsidRDefault="004E16A5" w:rsidP="004E16A5">
      <w:pPr>
        <w:spacing w:after="300" w:line="300" w:lineRule="atLeast"/>
        <w:rPr>
          <w:rFonts w:ascii="Arial" w:eastAsia="Times New Roman" w:hAnsi="Arial" w:cs="Arial"/>
          <w:color w:val="4B4540"/>
          <w:sz w:val="20"/>
          <w:szCs w:val="20"/>
          <w:lang w:eastAsia="nl-NL"/>
        </w:rPr>
      </w:pPr>
      <w:r w:rsidRPr="004E16A5">
        <w:rPr>
          <w:rFonts w:ascii="Arial" w:eastAsia="Times New Roman" w:hAnsi="Arial" w:cs="Arial"/>
          <w:color w:val="4B4540"/>
          <w:sz w:val="20"/>
          <w:szCs w:val="20"/>
          <w:lang w:eastAsia="nl-NL"/>
        </w:rPr>
        <w:t>Zorg dat de kast/bewaarplaats:</w:t>
      </w:r>
    </w:p>
    <w:p w:rsidR="004E16A5" w:rsidRPr="004E16A5" w:rsidRDefault="004E16A5" w:rsidP="004E16A5">
      <w:pPr>
        <w:numPr>
          <w:ilvl w:val="0"/>
          <w:numId w:val="1"/>
        </w:numPr>
        <w:spacing w:before="100" w:beforeAutospacing="1" w:after="100" w:afterAutospacing="1" w:line="300" w:lineRule="atLeast"/>
        <w:ind w:left="450"/>
        <w:rPr>
          <w:rFonts w:ascii="Arial" w:eastAsia="Times New Roman" w:hAnsi="Arial" w:cs="Arial"/>
          <w:color w:val="4B4540"/>
          <w:sz w:val="20"/>
          <w:szCs w:val="20"/>
          <w:lang w:eastAsia="nl-NL"/>
        </w:rPr>
      </w:pPr>
      <w:r w:rsidRPr="004E16A5">
        <w:rPr>
          <w:rFonts w:ascii="Arial" w:eastAsia="Times New Roman" w:hAnsi="Arial" w:cs="Arial"/>
          <w:color w:val="4B4540"/>
          <w:sz w:val="20"/>
          <w:szCs w:val="20"/>
          <w:lang w:eastAsia="nl-NL"/>
        </w:rPr>
        <w:t>afgesloten wordt en dat alleen personen die daar toestemming hebben (bijv. in het bezit van een spuitlicentie) de beschikking hebben over een sleutel;</w:t>
      </w:r>
    </w:p>
    <w:p w:rsidR="004E16A5" w:rsidRPr="004E16A5" w:rsidRDefault="004E16A5" w:rsidP="004E16A5">
      <w:pPr>
        <w:numPr>
          <w:ilvl w:val="0"/>
          <w:numId w:val="1"/>
        </w:numPr>
        <w:spacing w:before="100" w:beforeAutospacing="1" w:after="100" w:afterAutospacing="1" w:line="300" w:lineRule="atLeast"/>
        <w:ind w:left="450"/>
        <w:rPr>
          <w:rFonts w:ascii="Arial" w:eastAsia="Times New Roman" w:hAnsi="Arial" w:cs="Arial"/>
          <w:color w:val="4B4540"/>
          <w:sz w:val="20"/>
          <w:szCs w:val="20"/>
          <w:lang w:eastAsia="nl-NL"/>
        </w:rPr>
      </w:pPr>
      <w:r w:rsidRPr="004E16A5">
        <w:rPr>
          <w:rFonts w:ascii="Arial" w:eastAsia="Times New Roman" w:hAnsi="Arial" w:cs="Arial"/>
          <w:color w:val="4B4540"/>
          <w:sz w:val="20"/>
          <w:szCs w:val="20"/>
          <w:lang w:eastAsia="nl-NL"/>
        </w:rPr>
        <w:t>herkenbaar is dat wil zeggen dat op de buitenkant duidelijk staat aangegeven dat hier gewasbeschermingsmiddelen staan opgeslagen;</w:t>
      </w:r>
    </w:p>
    <w:p w:rsidR="004E16A5" w:rsidRPr="004E16A5" w:rsidRDefault="004E16A5" w:rsidP="004E16A5">
      <w:pPr>
        <w:numPr>
          <w:ilvl w:val="0"/>
          <w:numId w:val="1"/>
        </w:numPr>
        <w:spacing w:before="100" w:beforeAutospacing="1" w:after="100" w:afterAutospacing="1" w:line="300" w:lineRule="atLeast"/>
        <w:ind w:left="450"/>
        <w:rPr>
          <w:rFonts w:ascii="Arial" w:eastAsia="Times New Roman" w:hAnsi="Arial" w:cs="Arial"/>
          <w:color w:val="4B4540"/>
          <w:sz w:val="20"/>
          <w:szCs w:val="20"/>
          <w:lang w:eastAsia="nl-NL"/>
        </w:rPr>
      </w:pPr>
      <w:r w:rsidRPr="004E16A5">
        <w:rPr>
          <w:rFonts w:ascii="Arial" w:eastAsia="Times New Roman" w:hAnsi="Arial" w:cs="Arial"/>
          <w:color w:val="4B4540"/>
          <w:sz w:val="20"/>
          <w:szCs w:val="20"/>
          <w:lang w:eastAsia="nl-NL"/>
        </w:rPr>
        <w:t>voldoende wordt geventileerd om ophoping van schadelijke gassen te voorkomen;</w:t>
      </w:r>
    </w:p>
    <w:p w:rsidR="004E16A5" w:rsidRPr="004E16A5" w:rsidRDefault="004E16A5" w:rsidP="004E16A5">
      <w:pPr>
        <w:numPr>
          <w:ilvl w:val="0"/>
          <w:numId w:val="1"/>
        </w:numPr>
        <w:spacing w:before="100" w:beforeAutospacing="1" w:after="100" w:afterAutospacing="1" w:line="300" w:lineRule="atLeast"/>
        <w:ind w:left="450"/>
        <w:rPr>
          <w:rFonts w:ascii="Arial" w:eastAsia="Times New Roman" w:hAnsi="Arial" w:cs="Arial"/>
          <w:color w:val="4B4540"/>
          <w:sz w:val="20"/>
          <w:szCs w:val="20"/>
          <w:lang w:eastAsia="nl-NL"/>
        </w:rPr>
      </w:pPr>
      <w:r w:rsidRPr="004E16A5">
        <w:rPr>
          <w:rFonts w:ascii="Arial" w:eastAsia="Times New Roman" w:hAnsi="Arial" w:cs="Arial"/>
          <w:color w:val="4B4540"/>
          <w:sz w:val="20"/>
          <w:szCs w:val="20"/>
          <w:lang w:eastAsia="nl-NL"/>
        </w:rPr>
        <w:t>van deugdelijke materialen is, die niet worden aangetast door de verschillende middelen (dit geldt ook voor de elektrische installatie).</w:t>
      </w:r>
    </w:p>
    <w:p w:rsidR="0002588D" w:rsidRDefault="0002588D"/>
    <w:sectPr w:rsidR="0002588D" w:rsidSect="000258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F6779"/>
    <w:multiLevelType w:val="multilevel"/>
    <w:tmpl w:val="9DF66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16A5"/>
    <w:rsid w:val="0002588D"/>
    <w:rsid w:val="00173AE0"/>
    <w:rsid w:val="004E16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588D"/>
  </w:style>
  <w:style w:type="paragraph" w:styleId="Kop3">
    <w:name w:val="heading 3"/>
    <w:basedOn w:val="Standaard"/>
    <w:link w:val="Kop3Char"/>
    <w:uiPriority w:val="9"/>
    <w:qFormat/>
    <w:rsid w:val="004E16A5"/>
    <w:pPr>
      <w:spacing w:after="300" w:line="300" w:lineRule="atLeast"/>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4E16A5"/>
    <w:pPr>
      <w:spacing w:before="100" w:beforeAutospacing="1" w:after="100" w:afterAutospacing="1" w:line="240" w:lineRule="auto"/>
      <w:outlineLvl w:val="3"/>
    </w:pPr>
    <w:rPr>
      <w:rFonts w:ascii="Times New Roman" w:eastAsia="Times New Roman" w:hAnsi="Times New Roman" w:cs="Times New Roman"/>
      <w:caps/>
      <w:spacing w:val="15"/>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E16A5"/>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4E16A5"/>
    <w:rPr>
      <w:rFonts w:ascii="Times New Roman" w:eastAsia="Times New Roman" w:hAnsi="Times New Roman" w:cs="Times New Roman"/>
      <w:caps/>
      <w:spacing w:val="15"/>
      <w:sz w:val="20"/>
      <w:szCs w:val="20"/>
      <w:lang w:eastAsia="nl-NL"/>
    </w:rPr>
  </w:style>
  <w:style w:type="character" w:styleId="Hyperlink">
    <w:name w:val="Hyperlink"/>
    <w:basedOn w:val="Standaardalinea-lettertype"/>
    <w:uiPriority w:val="99"/>
    <w:unhideWhenUsed/>
    <w:rsid w:val="004E16A5"/>
    <w:rPr>
      <w:color w:val="0000FF"/>
      <w:u w:val="single"/>
    </w:rPr>
  </w:style>
  <w:style w:type="paragraph" w:styleId="Normaalweb">
    <w:name w:val="Normal (Web)"/>
    <w:basedOn w:val="Standaard"/>
    <w:uiPriority w:val="99"/>
    <w:semiHidden/>
    <w:unhideWhenUsed/>
    <w:rsid w:val="004E16A5"/>
    <w:pPr>
      <w:spacing w:after="300" w:line="240" w:lineRule="auto"/>
    </w:pPr>
    <w:rPr>
      <w:rFonts w:ascii="Times New Roman" w:eastAsia="Times New Roman" w:hAnsi="Times New Roman" w:cs="Times New Roman"/>
      <w:sz w:val="24"/>
      <w:szCs w:val="24"/>
      <w:lang w:eastAsia="nl-NL"/>
    </w:rPr>
  </w:style>
  <w:style w:type="paragraph" w:customStyle="1" w:styleId="emphasis">
    <w:name w:val="emphasis"/>
    <w:basedOn w:val="Standaard"/>
    <w:rsid w:val="004E16A5"/>
    <w:pPr>
      <w:pBdr>
        <w:top w:val="double" w:sz="6" w:space="0" w:color="C0C0C0"/>
        <w:left w:val="double" w:sz="6" w:space="0" w:color="C0C0C0"/>
        <w:bottom w:val="double" w:sz="6" w:space="0" w:color="C0C0C0"/>
        <w:right w:val="double" w:sz="6" w:space="0" w:color="C0C0C0"/>
      </w:pBdr>
      <w:spacing w:after="300"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E16A5"/>
    <w:rPr>
      <w:i/>
      <w:iCs/>
    </w:rPr>
  </w:style>
  <w:style w:type="paragraph" w:styleId="Ballontekst">
    <w:name w:val="Balloon Text"/>
    <w:basedOn w:val="Standaard"/>
    <w:link w:val="BallontekstChar"/>
    <w:uiPriority w:val="99"/>
    <w:semiHidden/>
    <w:unhideWhenUsed/>
    <w:rsid w:val="004E16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16A5"/>
    <w:rPr>
      <w:rFonts w:ascii="Tahoma" w:hAnsi="Tahoma" w:cs="Tahoma"/>
      <w:sz w:val="16"/>
      <w:szCs w:val="16"/>
    </w:rPr>
  </w:style>
  <w:style w:type="character" w:styleId="GevolgdeHyperlink">
    <w:name w:val="FollowedHyperlink"/>
    <w:basedOn w:val="Standaardalinea-lettertype"/>
    <w:uiPriority w:val="99"/>
    <w:semiHidden/>
    <w:unhideWhenUsed/>
    <w:rsid w:val="00173AE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06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trumenten.rie.nl/nl/stigas/hoveniers-en-groenvoorzieners/identification/1/5/2" TargetMode="External"/><Relationship Id="rId13" Type="http://schemas.openxmlformats.org/officeDocument/2006/relationships/hyperlink" Target="http://www.fytostat.nl/" TargetMode="External"/><Relationship Id="rId18" Type="http://schemas.openxmlformats.org/officeDocument/2006/relationships/hyperlink" Target="http://instrumenten.rie.nl/nl/stigas/hoveniers-en-groenvoorzieners/identification/1/5/8" TargetMode="External"/><Relationship Id="rId3" Type="http://schemas.openxmlformats.org/officeDocument/2006/relationships/settings" Target="settings.xml"/><Relationship Id="rId21" Type="http://schemas.openxmlformats.org/officeDocument/2006/relationships/hyperlink" Target="http://instrumenten.rie.nl/nl/stigas/hoveniers-en-groenvoorzieners/identification/1/5/10" TargetMode="External"/><Relationship Id="rId7" Type="http://schemas.openxmlformats.org/officeDocument/2006/relationships/hyperlink" Target="http://instrumenten.rie.nl/nl/stigas/hoveniers-en-groenvoorzieners/identification/1/5/1" TargetMode="External"/><Relationship Id="rId12" Type="http://schemas.openxmlformats.org/officeDocument/2006/relationships/hyperlink" Target="http://instrumenten.rie.nl/nl/stigas/hoveniers-en-groenvoorzieners/identification/1/5/4" TargetMode="External"/><Relationship Id="rId17" Type="http://schemas.openxmlformats.org/officeDocument/2006/relationships/hyperlink" Target="http://instrumenten.rie.nl/nl/stigas/hoveniers-en-groenvoorzieners/identification/1/5/7" TargetMode="External"/><Relationship Id="rId2" Type="http://schemas.openxmlformats.org/officeDocument/2006/relationships/styles" Target="styles.xml"/><Relationship Id="rId16" Type="http://schemas.openxmlformats.org/officeDocument/2006/relationships/hyperlink" Target="http://instrumenten.rie.nl/nl/stigas/hoveniers-en-groenvoorzieners/identification/1/5/6" TargetMode="External"/><Relationship Id="rId20" Type="http://schemas.openxmlformats.org/officeDocument/2006/relationships/hyperlink" Target="http://instrumenten.rie.nl/nl/stigas/hoveniers-en-groenvoorzieners/identification/1/5/9" TargetMode="External"/><Relationship Id="rId1" Type="http://schemas.openxmlformats.org/officeDocument/2006/relationships/numbering" Target="numbering.xml"/><Relationship Id="rId6" Type="http://schemas.openxmlformats.org/officeDocument/2006/relationships/hyperlink" Target="http://instrumenten.rie.nl/nl/stigas/hoveniers-en-groenvoorzieners/identification/report" TargetMode="External"/><Relationship Id="rId11" Type="http://schemas.openxmlformats.org/officeDocument/2006/relationships/hyperlink" Target="http://www.fytostat.nl/"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instrumenten.rie.nl/nl/stigas/hoveniers-en-groenvoorzieners/identification/1/5/5" TargetMode="External"/><Relationship Id="rId23" Type="http://schemas.openxmlformats.org/officeDocument/2006/relationships/fontTable" Target="fontTable.xml"/><Relationship Id="rId10" Type="http://schemas.openxmlformats.org/officeDocument/2006/relationships/hyperlink" Target="http://instrumenten.rie.nl/nl/stigas/hoveniers-en-groenvoorzieners/identification/1/5/3" TargetMode="External"/><Relationship Id="rId19" Type="http://schemas.openxmlformats.org/officeDocument/2006/relationships/hyperlink" Target="http://www.fytostat.nl/" TargetMode="External"/><Relationship Id="rId4" Type="http://schemas.openxmlformats.org/officeDocument/2006/relationships/webSettings" Target="webSettings.xml"/><Relationship Id="rId9" Type="http://schemas.openxmlformats.org/officeDocument/2006/relationships/hyperlink" Target="http://www.erkenningen.nl/" TargetMode="External"/><Relationship Id="rId14" Type="http://schemas.openxmlformats.org/officeDocument/2006/relationships/hyperlink" Target="http://www.ctb-wageningen.nl/" TargetMode="External"/><Relationship Id="rId22" Type="http://schemas.openxmlformats.org/officeDocument/2006/relationships/hyperlink" Target="http://instrumenten.rie.nl/nl/stigas/hoveniers-en-groenvoorzieners/identification/1/5/1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1136</Words>
  <Characters>6250</Characters>
  <Application>Microsoft Office Word</Application>
  <DocSecurity>0</DocSecurity>
  <Lines>52</Lines>
  <Paragraphs>14</Paragraphs>
  <ScaleCrop>false</ScaleCrop>
  <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2012-06-05T12:49:00Z</dcterms:created>
  <dcterms:modified xsi:type="dcterms:W3CDTF">2012-06-05T12:56:00Z</dcterms:modified>
</cp:coreProperties>
</file>